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082" w:h="5002" w:hRule="exact" w:wrap="none" w:vAnchor="page" w:hAnchor="page" w:x="1969" w:y="1700"/>
        <w:widowControl w:val="0"/>
        <w:keepNext w:val="0"/>
        <w:keepLines w:val="0"/>
        <w:shd w:val="clear" w:color="auto" w:fill="auto"/>
        <w:bidi w:val="0"/>
        <w:spacing w:before="0" w:after="213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21 марта 2022 года установили правила получения субсидии за трудоустройство молодежи</w:t>
      </w:r>
    </w:p>
    <w:p>
      <w:pPr>
        <w:pStyle w:val="Style5"/>
        <w:framePr w:w="9082" w:h="5002" w:hRule="exact" w:wrap="none" w:vAnchor="page" w:hAnchor="page" w:x="1969" w:y="1700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Поддержку предоставят компаниям и ИП, трудоустроившим отдельные категории граждан в возрасте до 30 лет, в том числе выпускников колледжей и вузов без опыта работы, лиц без среднего профессионального или высшего образования, инвалидов, детей-сирот.</w:t>
      </w:r>
    </w:p>
    <w:p>
      <w:pPr>
        <w:pStyle w:val="Style5"/>
        <w:framePr w:w="9082" w:h="5002" w:hRule="exact" w:wrap="none" w:vAnchor="page" w:hAnchor="page" w:x="1969" w:y="1700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подбора персонала необходимо направить заявление в центр занятости через сайт «Работа в России».</w:t>
      </w:r>
    </w:p>
    <w:p>
      <w:pPr>
        <w:pStyle w:val="Style5"/>
        <w:framePr w:w="9082" w:h="5002" w:hRule="exact" w:wrap="none" w:vAnchor="page" w:hAnchor="page" w:x="1969" w:y="170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 трудоустройства нужно подать заявление через систему «Соцстрах» о включении работодателя в реестр для предоставления субсидии. Данные правила регулируются Постановлением Правительства РФ от 18.03.2022 №398 «О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both"/>
      <w:spacing w:after="240" w:line="274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240" w:line="307" w:lineRule="exact"/>
      <w:ind w:firstLine="7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